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C6E5" w14:textId="254C7655" w:rsidR="00C21999" w:rsidRPr="001523C1" w:rsidRDefault="00715D88" w:rsidP="001523C1">
      <w:pPr>
        <w:spacing w:after="0" w:line="240" w:lineRule="auto"/>
        <w:jc w:val="center"/>
        <w:rPr>
          <w:b/>
        </w:rPr>
      </w:pPr>
      <w:r>
        <w:rPr>
          <w:b/>
        </w:rPr>
        <w:t>MAV</w:t>
      </w:r>
      <w:r w:rsidR="001523C1" w:rsidRPr="001523C1">
        <w:rPr>
          <w:b/>
        </w:rPr>
        <w:t>ED COURSE</w:t>
      </w:r>
      <w:r>
        <w:rPr>
          <w:b/>
        </w:rPr>
        <w:t xml:space="preserve"> EVALUATION</w:t>
      </w:r>
      <w:r w:rsidR="001523C1" w:rsidRPr="001523C1">
        <w:rPr>
          <w:b/>
        </w:rPr>
        <w:t xml:space="preserve"> RUBRIC</w:t>
      </w:r>
    </w:p>
    <w:p w14:paraId="0C78F11D" w14:textId="7B0AAB39" w:rsidR="001523C1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how the course aligns with the fundamental concepts, methods, and questions of the content area.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C21999" w:rsidRPr="001523C1" w14:paraId="0E3328DB" w14:textId="77777777" w:rsidTr="001523C1">
        <w:tc>
          <w:tcPr>
            <w:tcW w:w="2443" w:type="dxa"/>
            <w:shd w:val="clear" w:color="auto" w:fill="E8E8E8"/>
          </w:tcPr>
          <w:p w14:paraId="6400EEEB" w14:textId="77777777" w:rsidR="00C21999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12DAA243" w14:textId="77777777" w:rsidR="00C21999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688FA59A" w14:textId="77777777" w:rsidR="00C21999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69D0E6CD" w14:textId="77777777" w:rsidR="00C21999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C21999" w:rsidRPr="001523C1" w14:paraId="6E896181" w14:textId="77777777" w:rsidTr="001523C1">
        <w:trPr>
          <w:trHeight w:val="1358"/>
        </w:trPr>
        <w:tc>
          <w:tcPr>
            <w:tcW w:w="2443" w:type="dxa"/>
          </w:tcPr>
          <w:p w14:paraId="68571447" w14:textId="77777777" w:rsidR="00C21999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Course Alignment with Broad Content Area</w:t>
            </w:r>
          </w:p>
        </w:tc>
        <w:tc>
          <w:tcPr>
            <w:tcW w:w="3850" w:type="dxa"/>
            <w:shd w:val="clear" w:color="auto" w:fill="D9F2D0"/>
          </w:tcPr>
          <w:p w14:paraId="6FB1C813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fully aligns with the knowledge, theories, and key debates of the broad content area (e.g., social sciences, humanities, etc.); explicitly integrates foundational concepts.</w:t>
            </w:r>
          </w:p>
        </w:tc>
        <w:tc>
          <w:tcPr>
            <w:tcW w:w="3658" w:type="dxa"/>
            <w:shd w:val="clear" w:color="auto" w:fill="FFFF99"/>
          </w:tcPr>
          <w:p w14:paraId="12558168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aligns with the content area, addressing major concepts, but lacks depth and/or integration in certain areas.</w:t>
            </w:r>
          </w:p>
        </w:tc>
        <w:tc>
          <w:tcPr>
            <w:tcW w:w="4089" w:type="dxa"/>
            <w:shd w:val="clear" w:color="auto" w:fill="FF9999"/>
          </w:tcPr>
          <w:p w14:paraId="75523A09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has some relevance to the content area but lacks coherence in foundational content.</w:t>
            </w:r>
          </w:p>
        </w:tc>
      </w:tr>
      <w:tr w:rsidR="00C21999" w:rsidRPr="001523C1" w14:paraId="562C8C68" w14:textId="77777777" w:rsidTr="001523C1">
        <w:trPr>
          <w:trHeight w:val="1862"/>
        </w:trPr>
        <w:tc>
          <w:tcPr>
            <w:tcW w:w="2443" w:type="dxa"/>
          </w:tcPr>
          <w:p w14:paraId="276E83FB" w14:textId="77777777" w:rsidR="00C21999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Methods of the Content Area</w:t>
            </w:r>
          </w:p>
        </w:tc>
        <w:tc>
          <w:tcPr>
            <w:tcW w:w="3850" w:type="dxa"/>
            <w:shd w:val="clear" w:color="auto" w:fill="D9F2D0"/>
          </w:tcPr>
          <w:p w14:paraId="55CA003C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effectively employs content-specific methodologies (e.g., scientific method, historical analysis, research, creative approaches, etc.) and integrates them throughout learning activities in a meaningful and rigorous manner.</w:t>
            </w:r>
          </w:p>
        </w:tc>
        <w:tc>
          <w:tcPr>
            <w:tcW w:w="3658" w:type="dxa"/>
            <w:shd w:val="clear" w:color="auto" w:fill="FFFF99"/>
          </w:tcPr>
          <w:p w14:paraId="4177E5A6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appropriate content-area methods but may lack depth, consistency, or thorough application across learning experiences.</w:t>
            </w:r>
          </w:p>
        </w:tc>
        <w:tc>
          <w:tcPr>
            <w:tcW w:w="4089" w:type="dxa"/>
            <w:shd w:val="clear" w:color="auto" w:fill="FF9999"/>
          </w:tcPr>
          <w:p w14:paraId="2FB1E1B4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relevant methodologies but applies them inconsistently or with limited depth, reducing their impact on student learning.</w:t>
            </w:r>
          </w:p>
        </w:tc>
      </w:tr>
      <w:tr w:rsidR="00C21999" w:rsidRPr="001523C1" w14:paraId="09385922" w14:textId="77777777" w:rsidTr="001523C1">
        <w:tc>
          <w:tcPr>
            <w:tcW w:w="2443" w:type="dxa"/>
          </w:tcPr>
          <w:p w14:paraId="06135FB4" w14:textId="77777777" w:rsidR="00C21999" w:rsidRPr="001523C1" w:rsidRDefault="001523C1" w:rsidP="001523C1">
            <w:pPr>
              <w:rPr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Inquiry &amp; Engagement with Enduring Questions </w:t>
            </w:r>
          </w:p>
          <w:p w14:paraId="304B41C7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52272A69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4392E40C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  <w:p w14:paraId="75437B65" w14:textId="77777777" w:rsidR="00C21999" w:rsidRPr="001523C1" w:rsidRDefault="00C21999" w:rsidP="001523C1">
            <w:pPr>
              <w:rPr>
                <w:sz w:val="21"/>
                <w:szCs w:val="21"/>
              </w:rPr>
            </w:pPr>
          </w:p>
        </w:tc>
        <w:tc>
          <w:tcPr>
            <w:tcW w:w="3850" w:type="dxa"/>
            <w:shd w:val="clear" w:color="auto" w:fill="D9F2D0"/>
          </w:tcPr>
          <w:p w14:paraId="38E1C621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actively engages students in exploring key enduring questions or themes central to the content area through inquiry-driven activities, encouraging deep analysis, debate, and independent questioning.</w:t>
            </w:r>
          </w:p>
          <w:p w14:paraId="487AC451" w14:textId="77777777" w:rsidR="00C21999" w:rsidRPr="001523C1" w:rsidRDefault="00C21999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28CA3995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addresses key enduring questions or themes and incorporates some inquiry, though student exploration is less independent or limited.</w:t>
            </w:r>
          </w:p>
        </w:tc>
        <w:tc>
          <w:tcPr>
            <w:tcW w:w="4089" w:type="dxa"/>
            <w:shd w:val="clear" w:color="auto" w:fill="FF9999"/>
          </w:tcPr>
          <w:p w14:paraId="710FE104" w14:textId="77777777" w:rsidR="00C21999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references enduring questions but offers minimal opportunities for students to actively inquire, analyze, or engage with them in a meaningful way.</w:t>
            </w:r>
          </w:p>
        </w:tc>
      </w:tr>
    </w:tbl>
    <w:p w14:paraId="3A15DC2B" w14:textId="77777777" w:rsidR="001523C1" w:rsidRPr="001523C1" w:rsidRDefault="001523C1" w:rsidP="001523C1">
      <w:pPr>
        <w:spacing w:after="0" w:line="240" w:lineRule="auto"/>
        <w:jc w:val="center"/>
        <w:rPr>
          <w:sz w:val="21"/>
          <w:szCs w:val="21"/>
        </w:rPr>
      </w:pPr>
    </w:p>
    <w:p w14:paraId="1BE95D15" w14:textId="11490A1E" w:rsidR="00C21999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meaningful assessment of student learning objectives and reinforcement of the relevant fundamental skill (writing, oral communication, quantitative literacy, or data literacy.)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1523C1" w:rsidRPr="001523C1" w14:paraId="0CA03E75" w14:textId="77777777" w:rsidTr="001523C1">
        <w:tc>
          <w:tcPr>
            <w:tcW w:w="2443" w:type="dxa"/>
            <w:shd w:val="clear" w:color="auto" w:fill="E8E8E8"/>
          </w:tcPr>
          <w:p w14:paraId="0EED7D3C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47EA1FF8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7BD93745" w14:textId="77777777" w:rsidR="001523C1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572A4B86" w14:textId="77777777" w:rsidR="001523C1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1523C1" w:rsidRPr="001523C1" w14:paraId="171ACADA" w14:textId="77777777" w:rsidTr="001523C1">
        <w:tc>
          <w:tcPr>
            <w:tcW w:w="2443" w:type="dxa"/>
          </w:tcPr>
          <w:p w14:paraId="19E12C85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Assessment of Student Learning</w:t>
            </w:r>
          </w:p>
        </w:tc>
        <w:tc>
          <w:tcPr>
            <w:tcW w:w="3850" w:type="dxa"/>
            <w:shd w:val="clear" w:color="auto" w:fill="D9F2D0"/>
          </w:tcPr>
          <w:p w14:paraId="6E7598C5" w14:textId="77777777" w:rsidR="001523C1" w:rsidRPr="001523C1" w:rsidRDefault="001523C1" w:rsidP="001523C1">
            <w:pPr>
              <w:tabs>
                <w:tab w:val="left" w:pos="480"/>
              </w:tabs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Uses varied, discipline-appropriate assessments (e.g., essays, research, projects, exams, etc.) that are well aligned with course learning goals.</w:t>
            </w:r>
          </w:p>
        </w:tc>
        <w:tc>
          <w:tcPr>
            <w:tcW w:w="3658" w:type="dxa"/>
            <w:shd w:val="clear" w:color="auto" w:fill="FFFF99"/>
          </w:tcPr>
          <w:p w14:paraId="3072AF16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Includes multiple forms of assessment but may not fully align with learning goals.</w:t>
            </w:r>
          </w:p>
        </w:tc>
        <w:tc>
          <w:tcPr>
            <w:tcW w:w="4089" w:type="dxa"/>
            <w:shd w:val="clear" w:color="auto" w:fill="FF9999"/>
          </w:tcPr>
          <w:p w14:paraId="3AB399A9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Uses limited assessment methods; alignment with learning objectives is weak.</w:t>
            </w:r>
          </w:p>
        </w:tc>
      </w:tr>
      <w:tr w:rsidR="001523C1" w:rsidRPr="001523C1" w14:paraId="731D4E7B" w14:textId="77777777" w:rsidTr="001523C1">
        <w:tc>
          <w:tcPr>
            <w:tcW w:w="2443" w:type="dxa"/>
          </w:tcPr>
          <w:p w14:paraId="79E4DA98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Fundamental Skill Reinforcement Aligned with Content Area</w:t>
            </w:r>
          </w:p>
        </w:tc>
        <w:tc>
          <w:tcPr>
            <w:tcW w:w="3850" w:type="dxa"/>
            <w:shd w:val="clear" w:color="auto" w:fill="D9F2D0"/>
          </w:tcPr>
          <w:p w14:paraId="5BA2EB68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The course deliberately and intentionally integrates the relevant fundamental skill in ways that promote </w:t>
            </w:r>
            <w:r w:rsidRPr="001523C1">
              <w:rPr>
                <w:sz w:val="21"/>
                <w:szCs w:val="21"/>
              </w:rPr>
              <w:lastRenderedPageBreak/>
              <w:t>multiple cycles of feedback, practice, and application</w:t>
            </w:r>
          </w:p>
          <w:p w14:paraId="142DEE18" w14:textId="77777777" w:rsidR="001523C1" w:rsidRPr="001523C1" w:rsidRDefault="001523C1" w:rsidP="001523C1">
            <w:pPr>
              <w:tabs>
                <w:tab w:val="left" w:pos="480"/>
              </w:tabs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4113C51E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lastRenderedPageBreak/>
              <w:t xml:space="preserve">The course explicitly integrates the relevant fundamental skill into objectives, activities, and assessments, with some meaningful </w:t>
            </w:r>
            <w:r w:rsidRPr="001523C1">
              <w:rPr>
                <w:sz w:val="21"/>
                <w:szCs w:val="21"/>
              </w:rPr>
              <w:lastRenderedPageBreak/>
              <w:t>application and limited actionable feedback or real-world application.</w:t>
            </w:r>
          </w:p>
        </w:tc>
        <w:tc>
          <w:tcPr>
            <w:tcW w:w="4089" w:type="dxa"/>
            <w:shd w:val="clear" w:color="auto" w:fill="FF9999"/>
          </w:tcPr>
          <w:p w14:paraId="2E7DE4CB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lastRenderedPageBreak/>
              <w:t>The course integrates the skill clearly but inconsistently, with some meaningful practice and limited feedback or real-world application.</w:t>
            </w:r>
          </w:p>
          <w:p w14:paraId="2EBF11DE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EFE30E1" w14:textId="77777777" w:rsidR="001523C1" w:rsidRPr="001523C1" w:rsidRDefault="001523C1" w:rsidP="001523C1">
      <w:pPr>
        <w:spacing w:after="0" w:line="240" w:lineRule="auto"/>
        <w:jc w:val="center"/>
        <w:rPr>
          <w:sz w:val="21"/>
          <w:szCs w:val="21"/>
        </w:rPr>
      </w:pPr>
    </w:p>
    <w:p w14:paraId="62A4A806" w14:textId="73AC2B18" w:rsidR="00C21999" w:rsidRPr="001523C1" w:rsidRDefault="001523C1" w:rsidP="001523C1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1523C1">
        <w:rPr>
          <w:sz w:val="21"/>
          <w:szCs w:val="21"/>
        </w:rPr>
        <w:t>Proposed MavEd courses must demonstrate meaningful reinforcement of transferable learning outcomes (critical thinking, information literacy, integrative learning, reflection, and intercultural awareness.)</w:t>
      </w:r>
    </w:p>
    <w:tbl>
      <w:tblPr>
        <w:tblStyle w:val="a"/>
        <w:tblW w:w="140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3"/>
        <w:gridCol w:w="3850"/>
        <w:gridCol w:w="3658"/>
        <w:gridCol w:w="4089"/>
      </w:tblGrid>
      <w:tr w:rsidR="001523C1" w:rsidRPr="001523C1" w14:paraId="5A64AF55" w14:textId="77777777" w:rsidTr="001523C1">
        <w:tc>
          <w:tcPr>
            <w:tcW w:w="2443" w:type="dxa"/>
            <w:shd w:val="clear" w:color="auto" w:fill="E8E8E8"/>
          </w:tcPr>
          <w:p w14:paraId="00C2555C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Criteria</w:t>
            </w:r>
          </w:p>
        </w:tc>
        <w:tc>
          <w:tcPr>
            <w:tcW w:w="3850" w:type="dxa"/>
            <w:shd w:val="clear" w:color="auto" w:fill="E8E8E8"/>
          </w:tcPr>
          <w:p w14:paraId="3A515EA6" w14:textId="77777777" w:rsidR="001523C1" w:rsidRPr="001523C1" w:rsidRDefault="001523C1" w:rsidP="001523C1">
            <w:pPr>
              <w:jc w:val="center"/>
              <w:rPr>
                <w:b/>
              </w:rPr>
            </w:pPr>
            <w:r w:rsidRPr="001523C1">
              <w:rPr>
                <w:b/>
              </w:rPr>
              <w:t>Exemplary  (3)</w:t>
            </w:r>
          </w:p>
        </w:tc>
        <w:tc>
          <w:tcPr>
            <w:tcW w:w="3658" w:type="dxa"/>
            <w:shd w:val="clear" w:color="auto" w:fill="E8E8E8"/>
          </w:tcPr>
          <w:p w14:paraId="5EA8D0EF" w14:textId="77777777" w:rsidR="001523C1" w:rsidRPr="001523C1" w:rsidRDefault="001523C1" w:rsidP="001523C1">
            <w:pPr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Proficient</w:t>
            </w:r>
            <w:proofErr w:type="gramEnd"/>
            <w:r w:rsidRPr="001523C1">
              <w:rPr>
                <w:b/>
              </w:rPr>
              <w:t xml:space="preserve"> (2)</w:t>
            </w:r>
          </w:p>
        </w:tc>
        <w:tc>
          <w:tcPr>
            <w:tcW w:w="4089" w:type="dxa"/>
            <w:shd w:val="clear" w:color="auto" w:fill="E8E8E8"/>
          </w:tcPr>
          <w:p w14:paraId="0D6442D5" w14:textId="77777777" w:rsidR="001523C1" w:rsidRPr="001523C1" w:rsidRDefault="001523C1" w:rsidP="001523C1">
            <w:pPr>
              <w:tabs>
                <w:tab w:val="left" w:pos="660"/>
              </w:tabs>
              <w:jc w:val="center"/>
              <w:rPr>
                <w:b/>
              </w:rPr>
            </w:pPr>
            <w:proofErr w:type="gramStart"/>
            <w:r w:rsidRPr="001523C1">
              <w:rPr>
                <w:b/>
              </w:rPr>
              <w:t>Developing</w:t>
            </w:r>
            <w:proofErr w:type="gramEnd"/>
            <w:r w:rsidRPr="001523C1">
              <w:rPr>
                <w:b/>
              </w:rPr>
              <w:t xml:space="preserve"> (1)</w:t>
            </w:r>
          </w:p>
        </w:tc>
      </w:tr>
      <w:tr w:rsidR="001523C1" w:rsidRPr="001523C1" w14:paraId="5CB8EA4A" w14:textId="77777777" w:rsidTr="001523C1">
        <w:tc>
          <w:tcPr>
            <w:tcW w:w="2443" w:type="dxa"/>
          </w:tcPr>
          <w:p w14:paraId="0441798D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Critical Thinking </w:t>
            </w:r>
          </w:p>
        </w:tc>
        <w:tc>
          <w:tcPr>
            <w:tcW w:w="3850" w:type="dxa"/>
            <w:shd w:val="clear" w:color="auto" w:fill="D9F2D0"/>
          </w:tcPr>
          <w:p w14:paraId="5EE0D7C9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is intentionally designed to develop critical thinking through discipline-specific methodologies and structured opportunities for analysis, synthesis, and reflection.</w:t>
            </w:r>
          </w:p>
        </w:tc>
        <w:tc>
          <w:tcPr>
            <w:tcW w:w="3658" w:type="dxa"/>
            <w:shd w:val="clear" w:color="auto" w:fill="FFFF99"/>
          </w:tcPr>
          <w:p w14:paraId="72C31162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critical thinking but may lack depth or consistency in applying discipline-specific methodologies.</w:t>
            </w:r>
          </w:p>
        </w:tc>
        <w:tc>
          <w:tcPr>
            <w:tcW w:w="4089" w:type="dxa"/>
            <w:shd w:val="clear" w:color="auto" w:fill="FF9999"/>
          </w:tcPr>
          <w:p w14:paraId="407ED4DD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elements of critical thinking but does not explicitly or consistently integrate them into learning activities.</w:t>
            </w:r>
          </w:p>
        </w:tc>
      </w:tr>
      <w:tr w:rsidR="001523C1" w:rsidRPr="001523C1" w14:paraId="3C786AA3" w14:textId="77777777" w:rsidTr="001523C1">
        <w:tc>
          <w:tcPr>
            <w:tcW w:w="2443" w:type="dxa"/>
          </w:tcPr>
          <w:p w14:paraId="3D010814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Information Literacy</w:t>
            </w:r>
          </w:p>
        </w:tc>
        <w:tc>
          <w:tcPr>
            <w:tcW w:w="3850" w:type="dxa"/>
            <w:shd w:val="clear" w:color="auto" w:fill="D9F2D0"/>
          </w:tcPr>
          <w:p w14:paraId="6B9FB005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is intentionally designed to develop information literacy through discipline-specific methodologies, rigorous source evaluation, and structured opportunities for analysis.</w:t>
            </w:r>
          </w:p>
        </w:tc>
        <w:tc>
          <w:tcPr>
            <w:tcW w:w="3658" w:type="dxa"/>
            <w:shd w:val="clear" w:color="auto" w:fill="FFFF99"/>
          </w:tcPr>
          <w:p w14:paraId="683097F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incorporates information literacy but may lack depth or consistency in applying discipline-specific methodologies or evaluating sources.</w:t>
            </w:r>
          </w:p>
        </w:tc>
        <w:tc>
          <w:tcPr>
            <w:tcW w:w="4089" w:type="dxa"/>
            <w:shd w:val="clear" w:color="auto" w:fill="FF9999"/>
          </w:tcPr>
          <w:p w14:paraId="2B42CB2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includes some elements of information literacy but does not explicitly or consistently integrate them into learning activities.</w:t>
            </w:r>
          </w:p>
        </w:tc>
      </w:tr>
      <w:tr w:rsidR="001523C1" w:rsidRPr="001523C1" w14:paraId="1344B4AF" w14:textId="77777777" w:rsidTr="001523C1">
        <w:tc>
          <w:tcPr>
            <w:tcW w:w="2443" w:type="dxa"/>
          </w:tcPr>
          <w:p w14:paraId="729FD663" w14:textId="77777777" w:rsidR="001523C1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 xml:space="preserve">Integrative Learning </w:t>
            </w:r>
          </w:p>
        </w:tc>
        <w:tc>
          <w:tcPr>
            <w:tcW w:w="3850" w:type="dxa"/>
            <w:shd w:val="clear" w:color="auto" w:fill="D9F2D0"/>
          </w:tcPr>
          <w:p w14:paraId="78F098BC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Students engage in frequent, diverse, and meaningful opportunities to integrate knowledge and skills across disciplines and experiences. They transfer learning to personal, professional, or real-world contexts. </w:t>
            </w:r>
          </w:p>
        </w:tc>
        <w:tc>
          <w:tcPr>
            <w:tcW w:w="3658" w:type="dxa"/>
            <w:shd w:val="clear" w:color="auto" w:fill="FFFF99"/>
          </w:tcPr>
          <w:p w14:paraId="41205F68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Students are provided with opportunities to integrate knowledge and skills across disciplines and experiences, though depth may be limited in some areas. </w:t>
            </w:r>
          </w:p>
        </w:tc>
        <w:tc>
          <w:tcPr>
            <w:tcW w:w="4089" w:type="dxa"/>
            <w:shd w:val="clear" w:color="auto" w:fill="FF9999"/>
          </w:tcPr>
          <w:p w14:paraId="11F8DD0B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Opportunities for integration are inconsistent, repetitive, or lack clear relevance to real-world or interdisciplinary contexts. </w:t>
            </w:r>
          </w:p>
        </w:tc>
      </w:tr>
      <w:tr w:rsidR="001523C1" w:rsidRPr="001523C1" w14:paraId="388A2B78" w14:textId="77777777" w:rsidTr="001523C1">
        <w:tc>
          <w:tcPr>
            <w:tcW w:w="2443" w:type="dxa"/>
          </w:tcPr>
          <w:p w14:paraId="4DD44E34" w14:textId="77777777" w:rsidR="001523C1" w:rsidRPr="001523C1" w:rsidRDefault="001523C1" w:rsidP="001523C1">
            <w:pPr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Reflection</w:t>
            </w:r>
          </w:p>
        </w:tc>
        <w:tc>
          <w:tcPr>
            <w:tcW w:w="3850" w:type="dxa"/>
            <w:shd w:val="clear" w:color="auto" w:fill="D9F2D0"/>
          </w:tcPr>
          <w:p w14:paraId="64C8F64F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well-structured, frequent, and foster deep critical self-awareness and integrative thinking.</w:t>
            </w:r>
          </w:p>
          <w:p w14:paraId="0C9E113D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58" w:type="dxa"/>
            <w:shd w:val="clear" w:color="auto" w:fill="FFFF99"/>
          </w:tcPr>
          <w:p w14:paraId="2708112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included consistently but may lack depth, variety, or a clear connection to key learning goals.</w:t>
            </w:r>
          </w:p>
          <w:p w14:paraId="7B86BD49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89" w:type="dxa"/>
            <w:shd w:val="clear" w:color="auto" w:fill="FF9999"/>
          </w:tcPr>
          <w:p w14:paraId="7B189B97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Reflection activities are sporadic or lack intentional design, leading to superficial engagement.</w:t>
            </w:r>
          </w:p>
          <w:p w14:paraId="7A15FCA4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</w:p>
        </w:tc>
      </w:tr>
      <w:tr w:rsidR="001523C1" w:rsidRPr="001523C1" w14:paraId="41B5A0F9" w14:textId="77777777" w:rsidTr="001523C1">
        <w:tc>
          <w:tcPr>
            <w:tcW w:w="2443" w:type="dxa"/>
          </w:tcPr>
          <w:p w14:paraId="27B2793B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  <w:r w:rsidRPr="001523C1">
              <w:rPr>
                <w:b/>
                <w:sz w:val="21"/>
                <w:szCs w:val="21"/>
              </w:rPr>
              <w:t>Intercultural Awareness</w:t>
            </w:r>
          </w:p>
          <w:p w14:paraId="04E18FB9" w14:textId="77777777" w:rsidR="001523C1" w:rsidRPr="001523C1" w:rsidRDefault="001523C1" w:rsidP="001523C1">
            <w:pPr>
              <w:tabs>
                <w:tab w:val="left" w:pos="2220"/>
              </w:tabs>
              <w:rPr>
                <w:b/>
                <w:sz w:val="21"/>
                <w:szCs w:val="21"/>
              </w:rPr>
            </w:pPr>
          </w:p>
          <w:p w14:paraId="5C536407" w14:textId="77777777" w:rsidR="001523C1" w:rsidRPr="001523C1" w:rsidRDefault="001523C1" w:rsidP="001523C1">
            <w:pPr>
              <w:tabs>
                <w:tab w:val="left" w:pos="2220"/>
              </w:tabs>
              <w:rPr>
                <w:sz w:val="21"/>
                <w:szCs w:val="21"/>
              </w:rPr>
            </w:pPr>
          </w:p>
        </w:tc>
        <w:tc>
          <w:tcPr>
            <w:tcW w:w="3850" w:type="dxa"/>
            <w:shd w:val="clear" w:color="auto" w:fill="D9F2D0"/>
          </w:tcPr>
          <w:p w14:paraId="063146C0" w14:textId="77777777" w:rsidR="001523C1" w:rsidRPr="001523C1" w:rsidRDefault="001523C1" w:rsidP="001523C1">
            <w:pPr>
              <w:tabs>
                <w:tab w:val="left" w:pos="480"/>
              </w:tabs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meaningfully explores cultural contexts and/or global connections throughout its content and activities.</w:t>
            </w:r>
          </w:p>
        </w:tc>
        <w:tc>
          <w:tcPr>
            <w:tcW w:w="3658" w:type="dxa"/>
            <w:shd w:val="clear" w:color="auto" w:fill="FFFF99"/>
          </w:tcPr>
          <w:p w14:paraId="2B73DDF0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 xml:space="preserve">The course includes intercultural elements addressing cultural context and/or global </w:t>
            </w:r>
            <w:proofErr w:type="gramStart"/>
            <w:r w:rsidRPr="001523C1">
              <w:rPr>
                <w:sz w:val="21"/>
                <w:szCs w:val="21"/>
              </w:rPr>
              <w:t>connections, but</w:t>
            </w:r>
            <w:proofErr w:type="gramEnd"/>
            <w:r w:rsidRPr="001523C1">
              <w:rPr>
                <w:sz w:val="21"/>
                <w:szCs w:val="21"/>
              </w:rPr>
              <w:t xml:space="preserve"> lacks depth or consistency.</w:t>
            </w:r>
          </w:p>
        </w:tc>
        <w:tc>
          <w:tcPr>
            <w:tcW w:w="4089" w:type="dxa"/>
            <w:shd w:val="clear" w:color="auto" w:fill="FF9999"/>
          </w:tcPr>
          <w:p w14:paraId="1715FDC8" w14:textId="77777777" w:rsidR="001523C1" w:rsidRPr="001523C1" w:rsidRDefault="001523C1" w:rsidP="001523C1">
            <w:pPr>
              <w:jc w:val="center"/>
              <w:rPr>
                <w:sz w:val="21"/>
                <w:szCs w:val="21"/>
              </w:rPr>
            </w:pPr>
            <w:r w:rsidRPr="001523C1">
              <w:rPr>
                <w:sz w:val="21"/>
                <w:szCs w:val="21"/>
              </w:rPr>
              <w:t>The course briefly mentions cultural context and/or global connection but does not fully integrate it.</w:t>
            </w:r>
          </w:p>
        </w:tc>
      </w:tr>
    </w:tbl>
    <w:p w14:paraId="35D3286B" w14:textId="77777777" w:rsidR="001523C1" w:rsidRPr="001523C1" w:rsidRDefault="001523C1" w:rsidP="001523C1">
      <w:pPr>
        <w:spacing w:after="0" w:line="240" w:lineRule="auto"/>
        <w:jc w:val="center"/>
        <w:rPr>
          <w:b/>
        </w:rPr>
      </w:pPr>
    </w:p>
    <w:sectPr w:rsidR="001523C1" w:rsidRPr="00152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E462" w14:textId="77777777" w:rsidR="00340D1F" w:rsidRDefault="00340D1F">
      <w:pPr>
        <w:spacing w:after="0" w:line="240" w:lineRule="auto"/>
      </w:pPr>
      <w:r>
        <w:separator/>
      </w:r>
    </w:p>
  </w:endnote>
  <w:endnote w:type="continuationSeparator" w:id="0">
    <w:p w14:paraId="05C369BB" w14:textId="77777777" w:rsidR="00340D1F" w:rsidRDefault="0034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EF91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95B3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3A8F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53A9" w14:textId="77777777" w:rsidR="00340D1F" w:rsidRDefault="00340D1F">
      <w:pPr>
        <w:spacing w:after="0" w:line="240" w:lineRule="auto"/>
      </w:pPr>
      <w:r>
        <w:separator/>
      </w:r>
    </w:p>
  </w:footnote>
  <w:footnote w:type="continuationSeparator" w:id="0">
    <w:p w14:paraId="2FDBE593" w14:textId="77777777" w:rsidR="00340D1F" w:rsidRDefault="0034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065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8749" w14:textId="707B342F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0669" w14:textId="77777777" w:rsidR="00C21999" w:rsidRDefault="00C21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99"/>
    <w:rsid w:val="001523C1"/>
    <w:rsid w:val="00340D1F"/>
    <w:rsid w:val="003B6404"/>
    <w:rsid w:val="003E29B7"/>
    <w:rsid w:val="005E7527"/>
    <w:rsid w:val="00715D88"/>
    <w:rsid w:val="007A1D83"/>
    <w:rsid w:val="0089263D"/>
    <w:rsid w:val="009651AC"/>
    <w:rsid w:val="00975D88"/>
    <w:rsid w:val="00C21999"/>
    <w:rsid w:val="00D026BC"/>
    <w:rsid w:val="00D52614"/>
    <w:rsid w:val="00EE7774"/>
    <w:rsid w:val="00EF6322"/>
    <w:rsid w:val="00F35B7A"/>
    <w:rsid w:val="00F85E09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272B"/>
  <w15:docId w15:val="{005B84F0-9903-47AD-9872-42C9445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8c133-b376-4750-948e-c003f6d44d44" xsi:nil="true"/>
    <lcf76f155ced4ddcb4097134ff3c332f xmlns="7738f013-2242-4bae-858d-11f985e8ff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C9A60AACC3645A1997E3571A046D7" ma:contentTypeVersion="19" ma:contentTypeDescription="Create a new document." ma:contentTypeScope="" ma:versionID="471f95f11da64a333de7d9e977bca2b8">
  <xsd:schema xmlns:xsd="http://www.w3.org/2001/XMLSchema" xmlns:xs="http://www.w3.org/2001/XMLSchema" xmlns:p="http://schemas.microsoft.com/office/2006/metadata/properties" xmlns:ns2="7738f013-2242-4bae-858d-11f985e8ffa4" xmlns:ns3="6aa8c133-b376-4750-948e-c003f6d44d44" targetNamespace="http://schemas.microsoft.com/office/2006/metadata/properties" ma:root="true" ma:fieldsID="1ed41bb024f96a98316a75d170e24be8" ns2:_="" ns3:_="">
    <xsd:import namespace="7738f013-2242-4bae-858d-11f985e8ffa4"/>
    <xsd:import namespace="6aa8c133-b376-4750-948e-c003f6d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f013-2242-4bae-858d-11f985e8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c133-b376-4750-948e-c003f6d44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650368-a18f-4ab5-ae5d-680783fb8835}" ma:internalName="TaxCatchAll" ma:showField="CatchAllData" ma:web="6aa8c133-b376-4750-948e-c003f6d4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497EF-4A6F-4374-948C-2325291F7DB3}">
  <ds:schemaRefs>
    <ds:schemaRef ds:uri="http://schemas.microsoft.com/office/2006/metadata/properties"/>
    <ds:schemaRef ds:uri="http://schemas.microsoft.com/office/infopath/2007/PartnerControls"/>
    <ds:schemaRef ds:uri="6aa8c133-b376-4750-948e-c003f6d44d44"/>
    <ds:schemaRef ds:uri="7738f013-2242-4bae-858d-11f985e8ffa4"/>
  </ds:schemaRefs>
</ds:datastoreItem>
</file>

<file path=customXml/itemProps2.xml><?xml version="1.0" encoding="utf-8"?>
<ds:datastoreItem xmlns:ds="http://schemas.openxmlformats.org/officeDocument/2006/customXml" ds:itemID="{78D0A8F7-B1AD-47B8-851E-BB420EA19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8f013-2242-4bae-858d-11f985e8ffa4"/>
    <ds:schemaRef ds:uri="6aa8c133-b376-4750-948e-c003f6d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48732-B891-457B-AE8E-160ECD859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Dillon</dc:creator>
  <cp:lastModifiedBy>Sarah Dillon</cp:lastModifiedBy>
  <cp:revision>2</cp:revision>
  <dcterms:created xsi:type="dcterms:W3CDTF">2026-06-18T16:04:00Z</dcterms:created>
  <dcterms:modified xsi:type="dcterms:W3CDTF">2026-06-18T16:04:00Z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0x010100565C9A60AACC3645A1997E3571A046D7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51c762bc-edd3-4f7a-a5ec-f8b6b7892005</vt:lpwstr>
  </property>
</Properties>
</file>