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2F" w:rsidRDefault="002B1A2F">
      <w:pPr>
        <w:rPr>
          <w:rFonts w:ascii="Times New Roman" w:hAnsi="Times New Roman" w:cs="Times New Roman"/>
          <w:b/>
          <w:sz w:val="24"/>
          <w:szCs w:val="24"/>
        </w:rPr>
      </w:pPr>
    </w:p>
    <w:p w:rsidR="002B1A2F" w:rsidRDefault="002B1A2F">
      <w:pPr>
        <w:rPr>
          <w:rFonts w:ascii="Times New Roman" w:hAnsi="Times New Roman" w:cs="Times New Roman"/>
          <w:b/>
          <w:sz w:val="24"/>
          <w:szCs w:val="24"/>
        </w:rPr>
      </w:pPr>
    </w:p>
    <w:p w:rsidR="00B75FA7" w:rsidRPr="002D38BD" w:rsidRDefault="002B1A2F">
      <w:pPr>
        <w:rPr>
          <w:rFonts w:ascii="Times New Roman" w:hAnsi="Times New Roman" w:cs="Times New Roman"/>
          <w:b/>
          <w:sz w:val="28"/>
          <w:szCs w:val="28"/>
        </w:rPr>
      </w:pPr>
      <w:r w:rsidRPr="002D38BD">
        <w:rPr>
          <w:rFonts w:ascii="Times New Roman" w:hAnsi="Times New Roman" w:cs="Times New Roman"/>
          <w:b/>
          <w:sz w:val="28"/>
          <w:szCs w:val="28"/>
        </w:rPr>
        <w:t>End-of-Program Assessment Report Rubric</w:t>
      </w:r>
    </w:p>
    <w:p w:rsidR="002B1A2F" w:rsidRPr="00BD34E4" w:rsidRDefault="002B1A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3687"/>
        <w:gridCol w:w="3598"/>
        <w:gridCol w:w="4491"/>
      </w:tblGrid>
      <w:tr w:rsidR="00AE2E32" w:rsidRPr="00426F4A" w:rsidTr="00FA72F2"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0D1" w:rsidRDefault="002100D1" w:rsidP="002100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00D1" w:rsidRPr="00794AF8" w:rsidRDefault="002100D1" w:rsidP="002100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C71"/>
            <w:vAlign w:val="bottom"/>
          </w:tcPr>
          <w:p w:rsidR="002100D1" w:rsidRPr="00287500" w:rsidRDefault="002100D1" w:rsidP="00210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Does Not Meet / Did Not Include</w:t>
            </w:r>
          </w:p>
          <w:p w:rsidR="002100D1" w:rsidRPr="00287500" w:rsidRDefault="002100D1" w:rsidP="00210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n Need of Attention</w:t>
            </w:r>
          </w:p>
        </w:tc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43"/>
            <w:vAlign w:val="bottom"/>
          </w:tcPr>
          <w:p w:rsidR="002100D1" w:rsidRPr="00287500" w:rsidRDefault="002100D1" w:rsidP="00210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Meets with Concerns</w:t>
            </w:r>
          </w:p>
          <w:p w:rsidR="002100D1" w:rsidRPr="00287500" w:rsidRDefault="002100D1" w:rsidP="00210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Emerging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B44A"/>
            <w:vAlign w:val="bottom"/>
          </w:tcPr>
          <w:p w:rsidR="002100D1" w:rsidRPr="00287500" w:rsidRDefault="002100D1" w:rsidP="00210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Meets</w:t>
            </w:r>
          </w:p>
          <w:p w:rsidR="002100D1" w:rsidRPr="00287500" w:rsidRDefault="002100D1" w:rsidP="00210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stablished</w:t>
            </w:r>
          </w:p>
        </w:tc>
      </w:tr>
      <w:tr w:rsidR="00426F4A" w:rsidRPr="00426F4A" w:rsidTr="00FA72F2">
        <w:tc>
          <w:tcPr>
            <w:tcW w:w="14380" w:type="dxa"/>
            <w:gridSpan w:val="4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I.     Student Learning Outcomes</w:t>
            </w:r>
          </w:p>
        </w:tc>
      </w:tr>
      <w:tr w:rsidR="00426F4A" w:rsidRPr="00426F4A" w:rsidTr="00FA72F2">
        <w:tc>
          <w:tcPr>
            <w:tcW w:w="2604" w:type="dxa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consist of a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single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construct.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480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include more than a single, independent construct. 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7798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include more than a single, independent construct. 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0026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include a single, independent construct (or reflect external professional standards related to student learning as dictated by accreditation body).</w:t>
            </w:r>
          </w:p>
        </w:tc>
      </w:tr>
      <w:tr w:rsidR="00426F4A" w:rsidRPr="00426F4A" w:rsidTr="00FA72F2">
        <w:tc>
          <w:tcPr>
            <w:tcW w:w="2604" w:type="dxa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observable.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9600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not observable and not sufficiently defined to allow for observation. 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895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generally observable but clarity is needed to allow for observation.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609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are observable and sufficiently defined to allow for observation (or reflect external professional standards related to student learning dictated by accreditation body). </w:t>
            </w:r>
          </w:p>
        </w:tc>
      </w:tr>
      <w:tr w:rsidR="00426F4A" w:rsidRPr="00426F4A" w:rsidTr="00FA72F2">
        <w:tc>
          <w:tcPr>
            <w:tcW w:w="2604" w:type="dxa"/>
          </w:tcPr>
          <w:p w:rsidR="00426F4A" w:rsidRPr="00426F4A" w:rsidRDefault="00426F4A" w:rsidP="003F7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represent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discipline-specific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context.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8953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not presented in a discipline-specific context. 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9000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include discipline-specific context but others would benefit from additional contextualization. 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9241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SLOs are presented in the context of the discipline (or reflect external professional standards related to student learning dictated by accreditation body).</w:t>
            </w:r>
          </w:p>
        </w:tc>
      </w:tr>
      <w:tr w:rsidR="00426F4A" w:rsidRPr="00426F4A" w:rsidTr="00FA72F2">
        <w:tc>
          <w:tcPr>
            <w:tcW w:w="2604" w:type="dxa"/>
          </w:tcPr>
          <w:p w:rsidR="00426F4A" w:rsidRPr="00426F4A" w:rsidRDefault="00CA5236" w:rsidP="003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Internal and external </w:t>
            </w:r>
            <w:bookmarkStart w:id="0" w:name="_GoBack"/>
            <w:r w:rsidRPr="00C05158">
              <w:rPr>
                <w:rFonts w:ascii="Times New Roman" w:hAnsi="Times New Roman" w:cs="Times New Roman"/>
                <w:i/>
                <w:sz w:val="20"/>
                <w:szCs w:val="20"/>
              </w:rPr>
              <w:t>stakeholders are engaged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with student learning outcomes.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5F3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8904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has limited or no systematic means to communicate SLOs or engage with internal stakeholders.  SLOs are available on request.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958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does not solicit input from internal and external stakeholders.  The program systematically shares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existing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SLOs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stakeholders. 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SLOs are publicly available on the program website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published on a variety of program documents, such as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 materials, course outlines, or advising documents.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3F7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3587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program systematically communicates existing SLOs to stakeholders as well as periodically solicits input and feedback from internal and external stakeholders regarding program SLOs. 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SLOs are publicly available on the program website</w:t>
            </w:r>
            <w:r w:rsidR="00CA5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published on a variety of program documents, such as </w:t>
            </w:r>
            <w:r w:rsidR="00CA5236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 materials, course outlines, or advising documents.</w:t>
            </w:r>
          </w:p>
        </w:tc>
      </w:tr>
      <w:tr w:rsidR="00426F4A" w:rsidRPr="00426F4A" w:rsidTr="00FA72F2">
        <w:tc>
          <w:tcPr>
            <w:tcW w:w="14380" w:type="dxa"/>
            <w:gridSpan w:val="4"/>
          </w:tcPr>
          <w:p w:rsidR="00321C57" w:rsidRPr="004549C4" w:rsidRDefault="00426F4A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:rsidR="008A37AE" w:rsidRPr="004549C4" w:rsidRDefault="008A37AE" w:rsidP="003F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4A" w:rsidRPr="002B1A2F" w:rsidRDefault="00321C57" w:rsidP="003F71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263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Graduate programs only: Comments related to the alignment of program-specific SLOs to the UNO Common Graduate SLOs.</w:t>
            </w:r>
          </w:p>
        </w:tc>
      </w:tr>
      <w:tr w:rsidR="00426F4A" w:rsidRPr="00426F4A" w:rsidTr="00FA72F2">
        <w:tc>
          <w:tcPr>
            <w:tcW w:w="14380" w:type="dxa"/>
            <w:gridSpan w:val="4"/>
            <w:shd w:val="clear" w:color="auto" w:fill="BFBFBF" w:themeFill="background1" w:themeFillShade="BF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II.     Assessment Methods</w:t>
            </w:r>
          </w:p>
        </w:tc>
      </w:tr>
      <w:tr w:rsidR="00426F4A" w:rsidRPr="00426F4A" w:rsidTr="00FA72F2">
        <w:tc>
          <w:tcPr>
            <w:tcW w:w="2604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Each student learning outcome has at least one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measure.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82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direct measures are identified and indirect measures such as course grades, perceptions, or self-evaluations may or may not be identified.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194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SLOs are measured by direct evidence of student knowledge or skills and others are measured by indirect means such as course grades, perceptions, or self-evaluations.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4532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SLOs are measured by direct evidence of student knowledge or skills and may be substantiated by indirect means such as course grades, perceptions, or self-evaluations (or measures are dictated by accreditation body).</w:t>
            </w:r>
          </w:p>
        </w:tc>
      </w:tr>
      <w:tr w:rsidR="00426F4A" w:rsidRPr="00426F4A" w:rsidTr="00FA72F2">
        <w:trPr>
          <w:trHeight w:val="70"/>
        </w:trPr>
        <w:tc>
          <w:tcPr>
            <w:tcW w:w="2604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Measures of student learning outcomes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aligned 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corresponding SLOs.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8897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Measures provide data that does not reflect the constructs represented in the SLOs.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477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Some measures provide data that reflect the constructs represented in the SLOs.</w:t>
            </w:r>
            <w:r w:rsidR="00426F4A" w:rsidRPr="00426F4A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292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All measures provide data that reflect the constructs represented in the SLOs (or measures are dictated by accreditation body).</w:t>
            </w:r>
          </w:p>
        </w:tc>
      </w:tr>
      <w:tr w:rsidR="00426F4A" w:rsidRPr="00426F4A" w:rsidTr="00FA72F2">
        <w:tc>
          <w:tcPr>
            <w:tcW w:w="14380" w:type="dxa"/>
            <w:gridSpan w:val="4"/>
          </w:tcPr>
          <w:p w:rsidR="00426F4A" w:rsidRPr="004549C4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C4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 w:rsidR="003D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AE" w:rsidRDefault="008A37AE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2F" w:rsidRPr="004549C4" w:rsidRDefault="002B1A2F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F2" w:rsidRPr="00287500" w:rsidTr="00FA72F2"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2F2" w:rsidRDefault="00FA72F2" w:rsidP="003C0B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72F2" w:rsidRPr="00794AF8" w:rsidRDefault="00FA72F2" w:rsidP="003C0B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C71"/>
            <w:vAlign w:val="bottom"/>
          </w:tcPr>
          <w:p w:rsidR="00FA72F2" w:rsidRPr="00287500" w:rsidRDefault="00FA72F2" w:rsidP="003C0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Does Not Meet / Did Not Include</w:t>
            </w:r>
          </w:p>
          <w:p w:rsidR="00FA72F2" w:rsidRPr="00287500" w:rsidRDefault="00FA72F2" w:rsidP="003C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n Need of Attention</w:t>
            </w:r>
          </w:p>
        </w:tc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B43"/>
            <w:vAlign w:val="bottom"/>
          </w:tcPr>
          <w:p w:rsidR="00FA72F2" w:rsidRPr="00287500" w:rsidRDefault="00FA72F2" w:rsidP="003C0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Meets with Concerns</w:t>
            </w:r>
          </w:p>
          <w:p w:rsidR="00FA72F2" w:rsidRPr="00287500" w:rsidRDefault="00FA72F2" w:rsidP="003C0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Emerging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B44A"/>
            <w:vAlign w:val="bottom"/>
          </w:tcPr>
          <w:p w:rsidR="00FA72F2" w:rsidRPr="00287500" w:rsidRDefault="00FA72F2" w:rsidP="003C0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Meets</w:t>
            </w:r>
          </w:p>
          <w:p w:rsidR="00FA72F2" w:rsidRPr="00287500" w:rsidRDefault="00FA72F2" w:rsidP="003C0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Pr="00287500">
              <w:rPr>
                <w:rFonts w:ascii="Times New Roman" w:hAnsi="Times New Roman"/>
                <w:b/>
                <w:sz w:val="24"/>
                <w:szCs w:val="24"/>
              </w:rPr>
              <w:t>stablished</w:t>
            </w:r>
          </w:p>
        </w:tc>
      </w:tr>
      <w:tr w:rsidR="00426F4A" w:rsidRPr="00426F4A" w:rsidTr="00FA72F2">
        <w:tc>
          <w:tcPr>
            <w:tcW w:w="14380" w:type="dxa"/>
            <w:gridSpan w:val="4"/>
            <w:shd w:val="clear" w:color="auto" w:fill="BFBFBF" w:themeFill="background1" w:themeFillShade="BF"/>
          </w:tcPr>
          <w:p w:rsidR="00426F4A" w:rsidRPr="00BD34E4" w:rsidRDefault="00426F4A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III.     </w:t>
            </w:r>
            <w:r w:rsidRPr="00BD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Collection and Analysis</w:t>
            </w:r>
          </w:p>
        </w:tc>
      </w:tr>
      <w:tr w:rsidR="00693729" w:rsidRPr="00426F4A" w:rsidTr="00FA72F2">
        <w:tc>
          <w:tcPr>
            <w:tcW w:w="2604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regularly collected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against the measures (at least annually).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3952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have not been collected or have been collected sporadically. Plans for on-going, systematic collection have not been outlined.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777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collection is sporadic and/or plans for on-going, systematic collection have been outlined. 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426F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95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 w:rsidRP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collection is routine. Plans for systematic collection are </w:t>
            </w:r>
            <w:r w:rsidR="00426F4A" w:rsidRPr="0042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operationalized</w:t>
            </w:r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3729" w:rsidRPr="00426F4A" w:rsidTr="00FA72F2">
        <w:tc>
          <w:tcPr>
            <w:tcW w:w="2604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regularly analyzed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against the measures (at least annually).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1063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have not been analyzed or have been analyzed sporadically. Plans for on-going, systematic analysis have not been outlined.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7079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analysis is sporadic and/or plans for on-going, systematic analysis have been outlined. 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5451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analysis is routine. Plans for systematic analysis are operationalized.</w:t>
            </w:r>
          </w:p>
        </w:tc>
      </w:tr>
      <w:tr w:rsidR="00693729" w:rsidRPr="00426F4A" w:rsidTr="00FA72F2">
        <w:tc>
          <w:tcPr>
            <w:tcW w:w="2604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Results are </w:t>
            </w:r>
            <w:r w:rsidRPr="00426F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sufficient for analysis</w:t>
            </w: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9592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1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Data are</w:t>
            </w:r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limited by insufficient sample or only a single cycle of data is available. 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8607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For some SLOs: data represent all students in program (or reasonable sample); multiple data cycles are reported.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2982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For all SLOs:  Data represent all students in program (or reasonable sample); multiple cycles of data are reported. </w:t>
            </w:r>
          </w:p>
        </w:tc>
      </w:tr>
      <w:tr w:rsidR="00693729" w:rsidRPr="00426F4A" w:rsidTr="00FA72F2">
        <w:tc>
          <w:tcPr>
            <w:tcW w:w="2604" w:type="dxa"/>
          </w:tcPr>
          <w:p w:rsidR="00426F4A" w:rsidRPr="00426F4A" w:rsidRDefault="00426F4A" w:rsidP="00426F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sz w:val="20"/>
                <w:szCs w:val="20"/>
              </w:rPr>
              <w:t xml:space="preserve">Results are </w:t>
            </w:r>
            <w:r w:rsidRPr="00426F4A">
              <w:rPr>
                <w:rFonts w:ascii="Times New Roman" w:hAnsi="Times New Roman" w:cs="Times New Roman"/>
                <w:i/>
                <w:sz w:val="20"/>
                <w:szCs w:val="20"/>
              </w:rPr>
              <w:t>communicated</w:t>
            </w:r>
            <w:r w:rsidRPr="00426F4A">
              <w:rPr>
                <w:rFonts w:ascii="Times New Roman" w:hAnsi="Times New Roman" w:cs="Times New Roman"/>
                <w:sz w:val="20"/>
                <w:szCs w:val="20"/>
              </w:rPr>
              <w:t xml:space="preserve"> within the program.</w:t>
            </w:r>
          </w:p>
        </w:tc>
        <w:tc>
          <w:tcPr>
            <w:tcW w:w="3687" w:type="dxa"/>
            <w:shd w:val="clear" w:color="auto" w:fill="FFCABD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836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of program-level assessments are not communicated to program faculty.</w:t>
            </w:r>
          </w:p>
        </w:tc>
        <w:tc>
          <w:tcPr>
            <w:tcW w:w="3598" w:type="dxa"/>
            <w:shd w:val="clear" w:color="auto" w:fill="FFF2CC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961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4A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are sporadically communicated to program faculty. </w:t>
            </w:r>
          </w:p>
        </w:tc>
        <w:tc>
          <w:tcPr>
            <w:tcW w:w="4491" w:type="dxa"/>
            <w:shd w:val="clear" w:color="auto" w:fill="D9EAD3"/>
          </w:tcPr>
          <w:p w:rsidR="00426F4A" w:rsidRPr="00426F4A" w:rsidRDefault="000D1842" w:rsidP="00426F4A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341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F4A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Results are consistently and intentionally communicated to program faculty. </w:t>
            </w:r>
          </w:p>
        </w:tc>
      </w:tr>
      <w:tr w:rsidR="00BD34E4" w:rsidRPr="00426F4A" w:rsidTr="00FA72F2">
        <w:tc>
          <w:tcPr>
            <w:tcW w:w="14380" w:type="dxa"/>
            <w:gridSpan w:val="4"/>
          </w:tcPr>
          <w:p w:rsidR="008A37AE" w:rsidRPr="004549C4" w:rsidRDefault="003D24E2" w:rsidP="0042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  <w:p w:rsidR="00C726C2" w:rsidRDefault="00C726C2" w:rsidP="00426F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1A2F" w:rsidRDefault="002B1A2F" w:rsidP="00426F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1A2F" w:rsidRPr="00C726C2" w:rsidRDefault="002B1A2F" w:rsidP="00426F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4E4" w:rsidRPr="00426F4A" w:rsidTr="00FA72F2">
        <w:tc>
          <w:tcPr>
            <w:tcW w:w="14380" w:type="dxa"/>
            <w:gridSpan w:val="4"/>
            <w:shd w:val="clear" w:color="auto" w:fill="BFBFBF" w:themeFill="background1" w:themeFillShade="BF"/>
          </w:tcPr>
          <w:p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IV.</w:t>
            </w:r>
            <w:r w:rsidRPr="00AF23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AF23D8">
              <w:rPr>
                <w:rFonts w:ascii="Times New Roman" w:eastAsia="Times New Roman" w:hAnsi="Times New Roman"/>
                <w:b/>
                <w:sz w:val="24"/>
                <w:szCs w:val="24"/>
              </w:rPr>
              <w:t>Decisions and Actions</w:t>
            </w:r>
          </w:p>
        </w:tc>
      </w:tr>
      <w:tr w:rsidR="00693729" w:rsidRPr="00426F4A" w:rsidTr="00FA72F2">
        <w:tc>
          <w:tcPr>
            <w:tcW w:w="2604" w:type="dxa"/>
          </w:tcPr>
          <w:p w:rsidR="00BD34E4" w:rsidRPr="00794AF8" w:rsidRDefault="00BD34E4" w:rsidP="00BD34E4">
            <w:pPr>
              <w:rPr>
                <w:rFonts w:ascii="Times New Roman" w:hAnsi="Times New Roman"/>
                <w:sz w:val="20"/>
                <w:szCs w:val="20"/>
              </w:rPr>
            </w:pP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Evidence of </w:t>
            </w:r>
            <w:r w:rsidRPr="00794AF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data-informed decisions </w:t>
            </w: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is provided.</w:t>
            </w:r>
          </w:p>
        </w:tc>
        <w:tc>
          <w:tcPr>
            <w:tcW w:w="3687" w:type="dxa"/>
            <w:shd w:val="clear" w:color="auto" w:fill="FFCABD"/>
          </w:tcPr>
          <w:p w:rsidR="00BD34E4" w:rsidRPr="00C726C2" w:rsidRDefault="000D1842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180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evidence of data-informed decisions is provided.</w:t>
            </w:r>
          </w:p>
        </w:tc>
        <w:tc>
          <w:tcPr>
            <w:tcW w:w="3598" w:type="dxa"/>
            <w:shd w:val="clear" w:color="auto" w:fill="FFF2CC"/>
          </w:tcPr>
          <w:p w:rsidR="00BD34E4" w:rsidRPr="00C726C2" w:rsidRDefault="000D1842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7255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General statements related to data informed decisions are provided. </w:t>
            </w:r>
          </w:p>
        </w:tc>
        <w:tc>
          <w:tcPr>
            <w:tcW w:w="4491" w:type="dxa"/>
            <w:shd w:val="clear" w:color="auto" w:fill="D9EAD3"/>
          </w:tcPr>
          <w:p w:rsidR="00BD34E4" w:rsidRPr="00C726C2" w:rsidRDefault="000D1842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5349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Specific examples of data-informed decisions are provided.</w:t>
            </w:r>
          </w:p>
        </w:tc>
      </w:tr>
      <w:tr w:rsidR="00693729" w:rsidRPr="00426F4A" w:rsidTr="00FA72F2">
        <w:tc>
          <w:tcPr>
            <w:tcW w:w="2604" w:type="dxa"/>
          </w:tcPr>
          <w:p w:rsidR="00BD34E4" w:rsidRPr="00794AF8" w:rsidRDefault="00BD34E4" w:rsidP="00BD34E4">
            <w:pPr>
              <w:rPr>
                <w:rFonts w:ascii="Times New Roman" w:hAnsi="Times New Roman"/>
                <w:sz w:val="20"/>
                <w:szCs w:val="20"/>
              </w:rPr>
            </w:pP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Action has been</w:t>
            </w:r>
            <w:r w:rsidRPr="00794AF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determined </w:t>
            </w:r>
            <w:r w:rsidRPr="00794AF8">
              <w:rPr>
                <w:rFonts w:ascii="Times New Roman" w:hAnsi="Times New Roman"/>
                <w:color w:val="000000"/>
                <w:sz w:val="20"/>
                <w:szCs w:val="20"/>
              </w:rPr>
              <w:t>as result of decision.</w:t>
            </w:r>
          </w:p>
        </w:tc>
        <w:tc>
          <w:tcPr>
            <w:tcW w:w="3687" w:type="dxa"/>
            <w:shd w:val="clear" w:color="auto" w:fill="FFCABD"/>
          </w:tcPr>
          <w:p w:rsidR="00BD34E4" w:rsidRPr="00C726C2" w:rsidRDefault="000D1842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3965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program-improvement actions are described nor are future actions outlined.</w:t>
            </w:r>
          </w:p>
        </w:tc>
        <w:tc>
          <w:tcPr>
            <w:tcW w:w="3598" w:type="dxa"/>
            <w:shd w:val="clear" w:color="auto" w:fill="FFF2CC"/>
          </w:tcPr>
          <w:p w:rsidR="00BD34E4" w:rsidRPr="00C726C2" w:rsidRDefault="000D1842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127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Future program-improvement actions are described and/or are under consideration. </w:t>
            </w:r>
          </w:p>
        </w:tc>
        <w:tc>
          <w:tcPr>
            <w:tcW w:w="4491" w:type="dxa"/>
            <w:shd w:val="clear" w:color="auto" w:fill="D9EAD3"/>
          </w:tcPr>
          <w:p w:rsidR="00BD34E4" w:rsidRPr="00C726C2" w:rsidRDefault="000D1842" w:rsidP="00BD3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4715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E4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34E4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Specific program-improvement actions have been initiated.</w:t>
            </w:r>
          </w:p>
        </w:tc>
      </w:tr>
      <w:tr w:rsidR="00BD34E4" w:rsidRPr="00426F4A" w:rsidTr="00FA72F2">
        <w:tc>
          <w:tcPr>
            <w:tcW w:w="14380" w:type="dxa"/>
            <w:gridSpan w:val="4"/>
          </w:tcPr>
          <w:p w:rsidR="00BD34E4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4E4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 w:rsidR="003D24E2" w:rsidRPr="00454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A2F" w:rsidRPr="004549C4" w:rsidRDefault="002B1A2F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E4" w:rsidRPr="00426F4A" w:rsidTr="00FA72F2">
        <w:tc>
          <w:tcPr>
            <w:tcW w:w="14380" w:type="dxa"/>
            <w:gridSpan w:val="4"/>
            <w:shd w:val="clear" w:color="auto" w:fill="BFBFBF" w:themeFill="background1" w:themeFillShade="BF"/>
          </w:tcPr>
          <w:p w:rsidR="00BD34E4" w:rsidRPr="00426F4A" w:rsidRDefault="00BD34E4" w:rsidP="00BD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E4" w:rsidRPr="00426F4A" w:rsidTr="00FA72F2">
        <w:tc>
          <w:tcPr>
            <w:tcW w:w="14380" w:type="dxa"/>
            <w:gridSpan w:val="4"/>
          </w:tcPr>
          <w:p w:rsidR="00BD34E4" w:rsidRDefault="0074113B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  <w:r w:rsidR="00BD34E4" w:rsidRPr="00BD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Comments:</w:t>
            </w:r>
            <w:r w:rsidR="004549C4" w:rsidRPr="003D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E4" w:rsidRDefault="00BD34E4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2F" w:rsidRDefault="002B1A2F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2F" w:rsidRPr="00BD34E4" w:rsidRDefault="002B1A2F" w:rsidP="00BD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F4A" w:rsidRDefault="00426F4A">
      <w:pPr>
        <w:rPr>
          <w:rFonts w:ascii="Times New Roman" w:hAnsi="Times New Roman" w:cs="Times New Roman"/>
          <w:sz w:val="20"/>
          <w:szCs w:val="20"/>
        </w:rPr>
      </w:pPr>
    </w:p>
    <w:p w:rsidR="002B1A2F" w:rsidRDefault="002B1A2F">
      <w:pPr>
        <w:rPr>
          <w:rFonts w:ascii="Times New Roman" w:hAnsi="Times New Roman" w:cs="Times New Roman"/>
          <w:sz w:val="20"/>
          <w:szCs w:val="20"/>
        </w:rPr>
      </w:pPr>
    </w:p>
    <w:p w:rsidR="002B1A2F" w:rsidRDefault="002B1A2F">
      <w:pPr>
        <w:rPr>
          <w:rFonts w:ascii="Times New Roman" w:hAnsi="Times New Roman" w:cs="Times New Roman"/>
          <w:sz w:val="20"/>
          <w:szCs w:val="20"/>
        </w:rPr>
      </w:pPr>
    </w:p>
    <w:p w:rsidR="00693729" w:rsidRPr="00426F4A" w:rsidRDefault="00693729">
      <w:pPr>
        <w:rPr>
          <w:rFonts w:ascii="Times New Roman" w:hAnsi="Times New Roman" w:cs="Times New Roman"/>
          <w:sz w:val="20"/>
          <w:szCs w:val="20"/>
        </w:rPr>
      </w:pPr>
      <w:r w:rsidRPr="004A116E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5A9781" wp14:editId="1F7301D6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887470" cy="2349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29" w:rsidRPr="00693729" w:rsidRDefault="00693729" w:rsidP="006937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9372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Revised by AAC December 20</w:t>
                            </w:r>
                            <w:r w:rsidR="00F9253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16:  Adopted for use in 2018-19</w:t>
                            </w:r>
                          </w:p>
                          <w:p w:rsidR="00693729" w:rsidRDefault="00693729" w:rsidP="0069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A9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05pt;width:306.1pt;height:1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" stroked="f">
                <v:textbox>
                  <w:txbxContent>
                    <w:p w:rsidR="00693729" w:rsidRPr="00693729" w:rsidRDefault="00693729" w:rsidP="00693729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93729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Revised by AAC December 20</w:t>
                      </w:r>
                      <w:r w:rsidR="00F9253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16:  Adopted for use in 2018-19</w:t>
                      </w:r>
                    </w:p>
                    <w:p w:rsidR="00693729" w:rsidRDefault="00693729" w:rsidP="0069372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729" w:rsidRPr="00426F4A" w:rsidSect="00FA7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42" w:rsidRDefault="000D1842" w:rsidP="00426F4A">
      <w:r>
        <w:separator/>
      </w:r>
    </w:p>
  </w:endnote>
  <w:endnote w:type="continuationSeparator" w:id="0">
    <w:p w:rsidR="000D1842" w:rsidRDefault="000D1842" w:rsidP="0042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42" w:rsidRDefault="000D1842" w:rsidP="00426F4A">
      <w:r>
        <w:separator/>
      </w:r>
    </w:p>
  </w:footnote>
  <w:footnote w:type="continuationSeparator" w:id="0">
    <w:p w:rsidR="000D1842" w:rsidRDefault="000D1842" w:rsidP="0042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A"/>
    <w:rsid w:val="000018D6"/>
    <w:rsid w:val="000A39E6"/>
    <w:rsid w:val="000D1842"/>
    <w:rsid w:val="002100D1"/>
    <w:rsid w:val="002B1A2F"/>
    <w:rsid w:val="002D38BD"/>
    <w:rsid w:val="002F0455"/>
    <w:rsid w:val="00321C57"/>
    <w:rsid w:val="00385FCA"/>
    <w:rsid w:val="003B400B"/>
    <w:rsid w:val="003D24E2"/>
    <w:rsid w:val="00426F4A"/>
    <w:rsid w:val="004325A9"/>
    <w:rsid w:val="004549C4"/>
    <w:rsid w:val="00581D41"/>
    <w:rsid w:val="005F3FF5"/>
    <w:rsid w:val="006279C5"/>
    <w:rsid w:val="00693729"/>
    <w:rsid w:val="006E4E5C"/>
    <w:rsid w:val="0074113B"/>
    <w:rsid w:val="00791EBE"/>
    <w:rsid w:val="008A37AE"/>
    <w:rsid w:val="00942EA5"/>
    <w:rsid w:val="00A615A9"/>
    <w:rsid w:val="00AE2E32"/>
    <w:rsid w:val="00B142E8"/>
    <w:rsid w:val="00B62D69"/>
    <w:rsid w:val="00B75FA7"/>
    <w:rsid w:val="00BD34E4"/>
    <w:rsid w:val="00BF3A2E"/>
    <w:rsid w:val="00C05158"/>
    <w:rsid w:val="00C726C2"/>
    <w:rsid w:val="00CA5236"/>
    <w:rsid w:val="00D6575E"/>
    <w:rsid w:val="00E71D25"/>
    <w:rsid w:val="00F92532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78F1"/>
  <w15:chartTrackingRefBased/>
  <w15:docId w15:val="{8EA229C3-ADE8-4E76-9E2F-3C3D4617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F4A"/>
  </w:style>
  <w:style w:type="paragraph" w:styleId="Footer">
    <w:name w:val="footer"/>
    <w:basedOn w:val="Normal"/>
    <w:link w:val="Foot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F4A"/>
  </w:style>
  <w:style w:type="paragraph" w:styleId="BalloonText">
    <w:name w:val="Balloon Text"/>
    <w:basedOn w:val="Normal"/>
    <w:link w:val="BalloonTextChar"/>
    <w:uiPriority w:val="99"/>
    <w:semiHidden/>
    <w:unhideWhenUsed/>
    <w:rsid w:val="000A3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C240-ED31-4EF1-BB65-B113710F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Schaffer</dc:creator>
  <cp:keywords/>
  <dc:description/>
  <cp:lastModifiedBy>Amanda Rehfeld</cp:lastModifiedBy>
  <cp:revision>9</cp:revision>
  <cp:lastPrinted>2018-06-28T14:44:00Z</cp:lastPrinted>
  <dcterms:created xsi:type="dcterms:W3CDTF">2018-06-28T13:48:00Z</dcterms:created>
  <dcterms:modified xsi:type="dcterms:W3CDTF">2018-06-28T15:04:00Z</dcterms:modified>
</cp:coreProperties>
</file>